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783E" w14:textId="77777777" w:rsidR="00643464" w:rsidRDefault="00000000">
      <w:pPr>
        <w:ind w:left="546"/>
        <w:rPr>
          <w:rFonts w:ascii="Times New Roman"/>
          <w:sz w:val="20"/>
        </w:rPr>
      </w:pPr>
      <w:r>
        <w:rPr>
          <w:rFonts w:ascii="Times New Roman"/>
          <w:noProof/>
          <w:sz w:val="20"/>
        </w:rPr>
        <w:drawing>
          <wp:inline distT="0" distB="0" distL="0" distR="0" wp14:anchorId="67A77865" wp14:editId="67A77866">
            <wp:extent cx="1894351" cy="5940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94351" cy="594074"/>
                    </a:xfrm>
                    <a:prstGeom prst="rect">
                      <a:avLst/>
                    </a:prstGeom>
                  </pic:spPr>
                </pic:pic>
              </a:graphicData>
            </a:graphic>
          </wp:inline>
        </w:drawing>
      </w:r>
    </w:p>
    <w:p w14:paraId="67A7783F" w14:textId="77777777" w:rsidR="00643464" w:rsidRDefault="00643464">
      <w:pPr>
        <w:pStyle w:val="BodyText"/>
        <w:spacing w:before="121"/>
        <w:rPr>
          <w:rFonts w:ascii="Times New Roman"/>
          <w:sz w:val="24"/>
        </w:rPr>
      </w:pPr>
    </w:p>
    <w:p w14:paraId="67A77840" w14:textId="77777777" w:rsidR="00643464" w:rsidRDefault="00000000">
      <w:pPr>
        <w:pStyle w:val="Heading1"/>
        <w:ind w:left="209"/>
      </w:pPr>
      <w:bookmarkStart w:id="0" w:name="Blank_Page"/>
      <w:bookmarkEnd w:id="0"/>
      <w:r>
        <w:rPr>
          <w:spacing w:val="-2"/>
        </w:rPr>
        <w:t>Overview:</w:t>
      </w:r>
    </w:p>
    <w:p w14:paraId="67A77841" w14:textId="77777777" w:rsidR="00643464" w:rsidRDefault="00000000">
      <w:pPr>
        <w:pStyle w:val="BodyText"/>
        <w:spacing w:before="21" w:line="249" w:lineRule="auto"/>
        <w:ind w:left="209" w:right="63"/>
      </w:pPr>
      <w:r>
        <w:t>SEWP</w:t>
      </w:r>
      <w:r>
        <w:rPr>
          <w:spacing w:val="-3"/>
        </w:rPr>
        <w:t xml:space="preserve"> </w:t>
      </w:r>
      <w:r>
        <w:t>is</w:t>
      </w:r>
      <w:r>
        <w:rPr>
          <w:spacing w:val="-3"/>
        </w:rPr>
        <w:t xml:space="preserve"> </w:t>
      </w:r>
      <w:r>
        <w:t>a</w:t>
      </w:r>
      <w:r>
        <w:rPr>
          <w:spacing w:val="-3"/>
        </w:rPr>
        <w:t xml:space="preserve"> </w:t>
      </w:r>
      <w:r>
        <w:t>United</w:t>
      </w:r>
      <w:r>
        <w:rPr>
          <w:spacing w:val="-3"/>
        </w:rPr>
        <w:t xml:space="preserve"> </w:t>
      </w:r>
      <w:r>
        <w:t>States</w:t>
      </w:r>
      <w:r>
        <w:rPr>
          <w:spacing w:val="-3"/>
        </w:rPr>
        <w:t xml:space="preserve"> </w:t>
      </w:r>
      <w:r>
        <w:t>governmentwide</w:t>
      </w:r>
      <w:r>
        <w:rPr>
          <w:spacing w:val="-3"/>
        </w:rPr>
        <w:t xml:space="preserve"> </w:t>
      </w:r>
      <w:r>
        <w:t>acquisition</w:t>
      </w:r>
      <w:r>
        <w:rPr>
          <w:spacing w:val="-3"/>
        </w:rPr>
        <w:t xml:space="preserve"> </w:t>
      </w:r>
      <w:r>
        <w:t>contract</w:t>
      </w:r>
      <w:r>
        <w:rPr>
          <w:spacing w:val="-3"/>
        </w:rPr>
        <w:t xml:space="preserve"> </w:t>
      </w:r>
      <w:r>
        <w:t>(GWAC)</w:t>
      </w:r>
      <w:r>
        <w:rPr>
          <w:spacing w:val="-3"/>
        </w:rPr>
        <w:t xml:space="preserve"> </w:t>
      </w:r>
      <w:r>
        <w:t>authorized</w:t>
      </w:r>
      <w:r>
        <w:rPr>
          <w:spacing w:val="-3"/>
        </w:rPr>
        <w:t xml:space="preserve"> </w:t>
      </w:r>
      <w:r>
        <w:t>by</w:t>
      </w:r>
      <w:r>
        <w:rPr>
          <w:spacing w:val="-3"/>
        </w:rPr>
        <w:t xml:space="preserve"> </w:t>
      </w:r>
      <w:r>
        <w:t>the</w:t>
      </w:r>
      <w:r>
        <w:rPr>
          <w:spacing w:val="-3"/>
        </w:rPr>
        <w:t xml:space="preserve"> </w:t>
      </w:r>
      <w:r>
        <w:t>U.S.</w:t>
      </w:r>
      <w:r>
        <w:rPr>
          <w:spacing w:val="-3"/>
        </w:rPr>
        <w:t xml:space="preserve"> </w:t>
      </w:r>
      <w:r>
        <w:t>Office</w:t>
      </w:r>
      <w:r>
        <w:rPr>
          <w:spacing w:val="-3"/>
        </w:rPr>
        <w:t xml:space="preserve"> </w:t>
      </w:r>
      <w:r>
        <w:t>of</w:t>
      </w:r>
      <w:r>
        <w:rPr>
          <w:spacing w:val="-3"/>
        </w:rPr>
        <w:t xml:space="preserve"> </w:t>
      </w:r>
      <w:r>
        <w:t>Management</w:t>
      </w:r>
      <w:r>
        <w:rPr>
          <w:spacing w:val="-3"/>
        </w:rPr>
        <w:t xml:space="preserve"> </w:t>
      </w:r>
      <w:r>
        <w:t>and</w:t>
      </w:r>
      <w:r>
        <w:rPr>
          <w:spacing w:val="-3"/>
        </w:rPr>
        <w:t xml:space="preserve"> </w:t>
      </w:r>
      <w:r>
        <w:t>Budget</w:t>
      </w:r>
      <w:r>
        <w:rPr>
          <w:spacing w:val="-3"/>
        </w:rPr>
        <w:t xml:space="preserve"> </w:t>
      </w:r>
      <w:r>
        <w:t>(OMB) and</w:t>
      </w:r>
      <w:r>
        <w:rPr>
          <w:spacing w:val="-2"/>
        </w:rPr>
        <w:t xml:space="preserve"> </w:t>
      </w:r>
      <w:r>
        <w:t>managed</w:t>
      </w:r>
      <w:r>
        <w:rPr>
          <w:spacing w:val="-2"/>
        </w:rPr>
        <w:t xml:space="preserve"> </w:t>
      </w:r>
      <w:r>
        <w:t>by</w:t>
      </w:r>
      <w:r>
        <w:rPr>
          <w:spacing w:val="-2"/>
        </w:rPr>
        <w:t xml:space="preserve"> </w:t>
      </w:r>
      <w:r>
        <w:t>the</w:t>
      </w:r>
      <w:r>
        <w:rPr>
          <w:spacing w:val="-2"/>
        </w:rPr>
        <w:t xml:space="preserve"> </w:t>
      </w:r>
      <w:r>
        <w:t>National</w:t>
      </w:r>
      <w:r>
        <w:rPr>
          <w:spacing w:val="-2"/>
        </w:rPr>
        <w:t xml:space="preserve"> </w:t>
      </w:r>
      <w:r>
        <w:t>Aeronautics</w:t>
      </w:r>
      <w:r>
        <w:rPr>
          <w:spacing w:val="-2"/>
        </w:rPr>
        <w:t xml:space="preserve"> </w:t>
      </w:r>
      <w:r>
        <w:t>and</w:t>
      </w:r>
      <w:r>
        <w:rPr>
          <w:spacing w:val="-2"/>
        </w:rPr>
        <w:t xml:space="preserve"> </w:t>
      </w:r>
      <w:r>
        <w:t>Space</w:t>
      </w:r>
      <w:r>
        <w:rPr>
          <w:spacing w:val="-2"/>
        </w:rPr>
        <w:t xml:space="preserve"> </w:t>
      </w:r>
      <w:r>
        <w:t>Administration</w:t>
      </w:r>
      <w:r>
        <w:rPr>
          <w:spacing w:val="-2"/>
        </w:rPr>
        <w:t xml:space="preserve"> </w:t>
      </w:r>
      <w:r>
        <w:t>(NASA).</w:t>
      </w:r>
      <w:r>
        <w:rPr>
          <w:spacing w:val="-2"/>
        </w:rPr>
        <w:t xml:space="preserve"> </w:t>
      </w:r>
      <w:r>
        <w:t>All</w:t>
      </w:r>
      <w:r>
        <w:rPr>
          <w:spacing w:val="-2"/>
        </w:rPr>
        <w:t xml:space="preserve"> </w:t>
      </w:r>
      <w:r>
        <w:t>Federal</w:t>
      </w:r>
      <w:r>
        <w:rPr>
          <w:spacing w:val="-2"/>
        </w:rPr>
        <w:t xml:space="preserve"> </w:t>
      </w:r>
      <w:r>
        <w:t>agencies,</w:t>
      </w:r>
      <w:r>
        <w:rPr>
          <w:spacing w:val="-2"/>
        </w:rPr>
        <w:t xml:space="preserve"> </w:t>
      </w:r>
      <w:r>
        <w:t>including</w:t>
      </w:r>
      <w:r>
        <w:rPr>
          <w:spacing w:val="-2"/>
        </w:rPr>
        <w:t xml:space="preserve"> </w:t>
      </w:r>
      <w:r>
        <w:t>the</w:t>
      </w:r>
      <w:r>
        <w:rPr>
          <w:spacing w:val="-2"/>
        </w:rPr>
        <w:t xml:space="preserve"> </w:t>
      </w:r>
      <w:r>
        <w:t>Department</w:t>
      </w:r>
      <w:r>
        <w:rPr>
          <w:spacing w:val="-2"/>
        </w:rPr>
        <w:t xml:space="preserve"> </w:t>
      </w:r>
      <w:r>
        <w:t>of</w:t>
      </w:r>
      <w:r>
        <w:rPr>
          <w:spacing w:val="-2"/>
        </w:rPr>
        <w:t xml:space="preserve"> </w:t>
      </w:r>
      <w:r>
        <w:t>Defense (DOD), and government contractors are able to purchase IT equipment and services from SEWP-authorized resellers (known as "Contract</w:t>
      </w:r>
      <w:r>
        <w:rPr>
          <w:spacing w:val="-1"/>
        </w:rPr>
        <w:t xml:space="preserve"> </w:t>
      </w:r>
      <w:r>
        <w:t>Holders").</w:t>
      </w:r>
      <w:r>
        <w:rPr>
          <w:spacing w:val="-1"/>
        </w:rPr>
        <w:t xml:space="preserve"> </w:t>
      </w:r>
      <w:r>
        <w:t>In</w:t>
      </w:r>
      <w:r>
        <w:rPr>
          <w:spacing w:val="-1"/>
        </w:rPr>
        <w:t xml:space="preserve"> </w:t>
      </w:r>
      <w:r>
        <w:t>Fiscal</w:t>
      </w:r>
      <w:r>
        <w:rPr>
          <w:spacing w:val="-1"/>
        </w:rPr>
        <w:t xml:space="preserve"> </w:t>
      </w:r>
      <w:r>
        <w:t>Year</w:t>
      </w:r>
      <w:r>
        <w:rPr>
          <w:spacing w:val="-1"/>
        </w:rPr>
        <w:t xml:space="preserve"> </w:t>
      </w:r>
      <w:r>
        <w:t>2009,</w:t>
      </w:r>
      <w:r>
        <w:rPr>
          <w:spacing w:val="-1"/>
        </w:rPr>
        <w:t xml:space="preserve"> </w:t>
      </w:r>
      <w:r>
        <w:t>more</w:t>
      </w:r>
      <w:r>
        <w:rPr>
          <w:spacing w:val="-1"/>
        </w:rPr>
        <w:t xml:space="preserve"> </w:t>
      </w:r>
      <w:r>
        <w:t>than</w:t>
      </w:r>
      <w:r>
        <w:rPr>
          <w:spacing w:val="-1"/>
        </w:rPr>
        <w:t xml:space="preserve"> </w:t>
      </w:r>
      <w:r>
        <w:t>70</w:t>
      </w:r>
      <w:r>
        <w:rPr>
          <w:spacing w:val="-1"/>
        </w:rPr>
        <w:t xml:space="preserve"> </w:t>
      </w:r>
      <w:r>
        <w:t>federal</w:t>
      </w:r>
      <w:r>
        <w:rPr>
          <w:spacing w:val="-1"/>
        </w:rPr>
        <w:t xml:space="preserve"> </w:t>
      </w:r>
      <w:r>
        <w:t>agencies</w:t>
      </w:r>
      <w:r>
        <w:rPr>
          <w:spacing w:val="-1"/>
        </w:rPr>
        <w:t xml:space="preserve"> </w:t>
      </w:r>
      <w:r>
        <w:t>purchased</w:t>
      </w:r>
      <w:r>
        <w:rPr>
          <w:spacing w:val="-1"/>
        </w:rPr>
        <w:t xml:space="preserve"> </w:t>
      </w:r>
      <w:r>
        <w:t>IT</w:t>
      </w:r>
      <w:r>
        <w:rPr>
          <w:spacing w:val="-1"/>
        </w:rPr>
        <w:t xml:space="preserve"> </w:t>
      </w:r>
      <w:r>
        <w:t>solutions</w:t>
      </w:r>
      <w:r>
        <w:rPr>
          <w:spacing w:val="-1"/>
        </w:rPr>
        <w:t xml:space="preserve"> </w:t>
      </w:r>
      <w:r>
        <w:t>through</w:t>
      </w:r>
      <w:r>
        <w:rPr>
          <w:spacing w:val="-1"/>
        </w:rPr>
        <w:t xml:space="preserve"> </w:t>
      </w:r>
      <w:r>
        <w:t>the</w:t>
      </w:r>
      <w:r>
        <w:rPr>
          <w:spacing w:val="-1"/>
        </w:rPr>
        <w:t xml:space="preserve"> </w:t>
      </w:r>
      <w:r>
        <w:t>contract</w:t>
      </w:r>
      <w:r>
        <w:rPr>
          <w:spacing w:val="-1"/>
        </w:rPr>
        <w:t xml:space="preserve"> </w:t>
      </w:r>
      <w:r>
        <w:t>vehicle.</w:t>
      </w:r>
      <w:r>
        <w:rPr>
          <w:spacing w:val="-1"/>
        </w:rPr>
        <w:t xml:space="preserve"> </w:t>
      </w:r>
      <w:r>
        <w:t>As</w:t>
      </w:r>
      <w:r>
        <w:rPr>
          <w:spacing w:val="-1"/>
        </w:rPr>
        <w:t xml:space="preserve"> </w:t>
      </w:r>
      <w:r>
        <w:t>of</w:t>
      </w:r>
      <w:r>
        <w:rPr>
          <w:spacing w:val="-1"/>
        </w:rPr>
        <w:t xml:space="preserve"> </w:t>
      </w:r>
      <w:r>
        <w:t>2018, 87 cabinet-level agencies and commissions have used SEWP. SEWP covers a vast range of IT solutions such as such as laptops, servers, tablets, peripherals, network equipment, storage systems, software products, cloud based services, telecommunications, security tools, as well as product-centric services such as installation, training, engineering, and maintenance services. As of October 1,2020, the SEWP surcharge for all orders is a 0.34%. The fee is included in the price of all products and is not separately listed on quotes. It is the Contract Holder’s responsibility to pay the fee from their quoted product prices.</w:t>
      </w:r>
    </w:p>
    <w:p w14:paraId="67A77842" w14:textId="77777777" w:rsidR="00643464" w:rsidRDefault="00643464">
      <w:pPr>
        <w:pStyle w:val="BodyText"/>
        <w:spacing w:before="11"/>
      </w:pPr>
    </w:p>
    <w:p w14:paraId="67A77843" w14:textId="77777777" w:rsidR="00643464" w:rsidRDefault="00000000">
      <w:pPr>
        <w:pStyle w:val="Heading2"/>
        <w:ind w:left="209"/>
      </w:pPr>
      <w:r>
        <w:t>Better</w:t>
      </w:r>
      <w:r>
        <w:rPr>
          <w:spacing w:val="-3"/>
        </w:rPr>
        <w:t xml:space="preserve"> </w:t>
      </w:r>
      <w:r>
        <w:t>Direct,</w:t>
      </w:r>
      <w:r>
        <w:rPr>
          <w:spacing w:val="-2"/>
        </w:rPr>
        <w:t xml:space="preserve"> </w:t>
      </w:r>
      <w:r>
        <w:rPr>
          <w:spacing w:val="-5"/>
        </w:rPr>
        <w:t>LLC</w:t>
      </w:r>
    </w:p>
    <w:p w14:paraId="67A77844" w14:textId="77777777" w:rsidR="00643464" w:rsidRDefault="00000000">
      <w:pPr>
        <w:pStyle w:val="BodyText"/>
        <w:tabs>
          <w:tab w:val="left" w:pos="2370"/>
        </w:tabs>
        <w:spacing w:before="10"/>
        <w:ind w:left="209"/>
      </w:pPr>
      <w:r>
        <w:t>Period</w:t>
      </w:r>
      <w:r>
        <w:rPr>
          <w:spacing w:val="-3"/>
        </w:rPr>
        <w:t xml:space="preserve"> </w:t>
      </w:r>
      <w:r>
        <w:t>of</w:t>
      </w:r>
      <w:r>
        <w:rPr>
          <w:spacing w:val="-2"/>
        </w:rPr>
        <w:t xml:space="preserve"> Performance:</w:t>
      </w:r>
      <w:r>
        <w:tab/>
        <w:t>05/01/2020</w:t>
      </w:r>
      <w:r>
        <w:rPr>
          <w:spacing w:val="-5"/>
        </w:rPr>
        <w:t xml:space="preserve"> </w:t>
      </w:r>
      <w:r>
        <w:t>–</w:t>
      </w:r>
      <w:r>
        <w:rPr>
          <w:spacing w:val="-4"/>
        </w:rPr>
        <w:t xml:space="preserve"> </w:t>
      </w:r>
      <w:r>
        <w:rPr>
          <w:spacing w:val="-2"/>
        </w:rPr>
        <w:t>04/30/2025</w:t>
      </w:r>
    </w:p>
    <w:p w14:paraId="67A77845" w14:textId="77777777" w:rsidR="00643464" w:rsidRDefault="00000000">
      <w:pPr>
        <w:pStyle w:val="BodyText"/>
        <w:spacing w:before="11"/>
        <w:ind w:left="209"/>
      </w:pPr>
      <w:r>
        <w:t>Group</w:t>
      </w:r>
      <w:r>
        <w:rPr>
          <w:spacing w:val="-4"/>
        </w:rPr>
        <w:t xml:space="preserve"> </w:t>
      </w:r>
      <w:r>
        <w:t>A:</w:t>
      </w:r>
      <w:r>
        <w:rPr>
          <w:spacing w:val="-1"/>
        </w:rPr>
        <w:t xml:space="preserve"> </w:t>
      </w:r>
      <w:r>
        <w:t>NNG15SD45B</w:t>
      </w:r>
      <w:r>
        <w:rPr>
          <w:spacing w:val="-1"/>
        </w:rPr>
        <w:t xml:space="preserve"> </w:t>
      </w:r>
      <w:r>
        <w:t>-</w:t>
      </w:r>
      <w:r>
        <w:rPr>
          <w:spacing w:val="-1"/>
        </w:rPr>
        <w:t xml:space="preserve"> </w:t>
      </w:r>
      <w:r>
        <w:t>Full</w:t>
      </w:r>
      <w:r>
        <w:rPr>
          <w:spacing w:val="-1"/>
        </w:rPr>
        <w:t xml:space="preserve"> </w:t>
      </w:r>
      <w:r>
        <w:t>&amp;</w:t>
      </w:r>
      <w:r>
        <w:rPr>
          <w:spacing w:val="-1"/>
        </w:rPr>
        <w:t xml:space="preserve"> </w:t>
      </w:r>
      <w:r>
        <w:rPr>
          <w:spacing w:val="-4"/>
        </w:rPr>
        <w:t>Open</w:t>
      </w:r>
    </w:p>
    <w:p w14:paraId="67A77846" w14:textId="77777777" w:rsidR="00643464" w:rsidRDefault="00000000">
      <w:pPr>
        <w:pStyle w:val="BodyText"/>
        <w:tabs>
          <w:tab w:val="left" w:pos="2369"/>
        </w:tabs>
        <w:spacing w:before="10" w:line="252" w:lineRule="auto"/>
        <w:ind w:left="209" w:right="7136"/>
      </w:pPr>
      <w:r>
        <w:t>Group</w:t>
      </w:r>
      <w:r>
        <w:rPr>
          <w:spacing w:val="-7"/>
        </w:rPr>
        <w:t xml:space="preserve"> </w:t>
      </w:r>
      <w:r>
        <w:t>B:</w:t>
      </w:r>
      <w:r>
        <w:rPr>
          <w:spacing w:val="-7"/>
        </w:rPr>
        <w:t xml:space="preserve"> </w:t>
      </w:r>
      <w:r>
        <w:t>NNG15SD10B</w:t>
      </w:r>
      <w:r>
        <w:rPr>
          <w:spacing w:val="-7"/>
        </w:rPr>
        <w:t xml:space="preserve"> </w:t>
      </w:r>
      <w:r>
        <w:t>-</w:t>
      </w:r>
      <w:r>
        <w:rPr>
          <w:spacing w:val="-7"/>
        </w:rPr>
        <w:t xml:space="preserve"> </w:t>
      </w:r>
      <w:r>
        <w:t>HubZone</w:t>
      </w:r>
      <w:r>
        <w:rPr>
          <w:spacing w:val="-7"/>
        </w:rPr>
        <w:t xml:space="preserve"> </w:t>
      </w:r>
      <w:r>
        <w:t>&amp;</w:t>
      </w:r>
      <w:r>
        <w:rPr>
          <w:spacing w:val="-7"/>
        </w:rPr>
        <w:t xml:space="preserve"> </w:t>
      </w:r>
      <w:r>
        <w:t>SDVOSB Group C: NNG15SD65B - Small Business Contract Surcharge fee:</w:t>
      </w:r>
      <w:r>
        <w:tab/>
      </w:r>
      <w:r>
        <w:rPr>
          <w:spacing w:val="-2"/>
        </w:rPr>
        <w:t>0.34%</w:t>
      </w:r>
    </w:p>
    <w:p w14:paraId="67A77847" w14:textId="77777777" w:rsidR="00643464" w:rsidRDefault="00000000">
      <w:pPr>
        <w:pStyle w:val="BodyText"/>
        <w:spacing w:before="85"/>
        <w:ind w:left="209"/>
        <w:rPr>
          <w:position w:val="1"/>
        </w:rPr>
      </w:pPr>
      <w:r>
        <w:t>Credit</w:t>
      </w:r>
      <w:r>
        <w:rPr>
          <w:spacing w:val="-3"/>
        </w:rPr>
        <w:t xml:space="preserve"> </w:t>
      </w:r>
      <w:r>
        <w:t>Card</w:t>
      </w:r>
      <w:r>
        <w:rPr>
          <w:spacing w:val="-1"/>
        </w:rPr>
        <w:t xml:space="preserve"> </w:t>
      </w:r>
      <w:r>
        <w:t>Accepted:</w:t>
      </w:r>
      <w:r>
        <w:rPr>
          <w:spacing w:val="76"/>
        </w:rPr>
        <w:t xml:space="preserve"> </w:t>
      </w:r>
      <w:r>
        <w:rPr>
          <w:position w:val="1"/>
        </w:rPr>
        <w:t xml:space="preserve">Yes </w:t>
      </w:r>
      <w:r>
        <w:rPr>
          <w:spacing w:val="-2"/>
          <w:position w:val="1"/>
        </w:rPr>
        <w:t>(VISA/MasterCard/AMEX)</w:t>
      </w:r>
    </w:p>
    <w:p w14:paraId="67A77848" w14:textId="77777777" w:rsidR="00643464" w:rsidRDefault="00643464">
      <w:pPr>
        <w:pStyle w:val="BodyText"/>
        <w:spacing w:before="10"/>
      </w:pPr>
    </w:p>
    <w:p w14:paraId="67A77849" w14:textId="3AC5FDCB" w:rsidR="00643464" w:rsidRDefault="00000000">
      <w:pPr>
        <w:spacing w:line="249" w:lineRule="auto"/>
        <w:ind w:left="209" w:right="8990"/>
        <w:rPr>
          <w:sz w:val="18"/>
        </w:rPr>
      </w:pPr>
      <w:r>
        <w:rPr>
          <w:b/>
          <w:sz w:val="18"/>
        </w:rPr>
        <w:t>Program Manager POC:</w:t>
      </w:r>
      <w:r>
        <w:rPr>
          <w:b/>
          <w:spacing w:val="-15"/>
          <w:sz w:val="18"/>
        </w:rPr>
        <w:t xml:space="preserve"> </w:t>
      </w:r>
      <w:r w:rsidR="008B589E" w:rsidRPr="008B589E">
        <w:rPr>
          <w:sz w:val="18"/>
        </w:rPr>
        <w:t>Matthew Walz</w:t>
      </w:r>
    </w:p>
    <w:p w14:paraId="67A7784A" w14:textId="5E253CA7" w:rsidR="00643464" w:rsidRDefault="00000000">
      <w:pPr>
        <w:spacing w:before="67"/>
        <w:ind w:left="196"/>
        <w:rPr>
          <w:sz w:val="18"/>
        </w:rPr>
      </w:pPr>
      <w:r>
        <w:rPr>
          <w:b/>
          <w:sz w:val="18"/>
        </w:rPr>
        <w:t xml:space="preserve">Email: </w:t>
      </w:r>
      <w:r w:rsidR="003E5610" w:rsidRPr="003E5610">
        <w:t>matthew.walz@betterdirect.com</w:t>
      </w:r>
    </w:p>
    <w:p w14:paraId="67A7784B" w14:textId="614569F5" w:rsidR="00643464" w:rsidRDefault="00000000">
      <w:pPr>
        <w:spacing w:before="9"/>
        <w:ind w:left="196"/>
        <w:rPr>
          <w:sz w:val="18"/>
        </w:rPr>
      </w:pPr>
      <w:r>
        <w:rPr>
          <w:noProof/>
          <w:sz w:val="18"/>
        </w:rPr>
        <w:drawing>
          <wp:anchor distT="0" distB="0" distL="0" distR="0" simplePos="0" relativeHeight="15728640" behindDoc="0" locked="0" layoutInCell="1" allowOverlap="1" wp14:anchorId="67A77867" wp14:editId="67A77868">
            <wp:simplePos x="0" y="0"/>
            <wp:positionH relativeFrom="page">
              <wp:posOffset>3526393</wp:posOffset>
            </wp:positionH>
            <wp:positionV relativeFrom="paragraph">
              <wp:posOffset>156507</wp:posOffset>
            </wp:positionV>
            <wp:extent cx="3928752" cy="11954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928752" cy="1195408"/>
                    </a:xfrm>
                    <a:prstGeom prst="rect">
                      <a:avLst/>
                    </a:prstGeom>
                  </pic:spPr>
                </pic:pic>
              </a:graphicData>
            </a:graphic>
          </wp:anchor>
        </w:drawing>
      </w:r>
      <w:r>
        <w:rPr>
          <w:b/>
          <w:sz w:val="18"/>
        </w:rPr>
        <w:t>Phone:</w:t>
      </w:r>
      <w:r>
        <w:rPr>
          <w:b/>
          <w:spacing w:val="-8"/>
          <w:sz w:val="18"/>
        </w:rPr>
        <w:t xml:space="preserve"> </w:t>
      </w:r>
      <w:r>
        <w:rPr>
          <w:sz w:val="18"/>
        </w:rPr>
        <w:t>480-921-</w:t>
      </w:r>
      <w:r>
        <w:rPr>
          <w:spacing w:val="-2"/>
          <w:sz w:val="18"/>
        </w:rPr>
        <w:t>3858x</w:t>
      </w:r>
      <w:r w:rsidR="003E5610">
        <w:rPr>
          <w:spacing w:val="-2"/>
          <w:sz w:val="18"/>
        </w:rPr>
        <w:t>680</w:t>
      </w:r>
    </w:p>
    <w:p w14:paraId="67A7784C" w14:textId="77777777" w:rsidR="00643464" w:rsidRDefault="00643464">
      <w:pPr>
        <w:pStyle w:val="BodyText"/>
        <w:spacing w:before="24"/>
      </w:pPr>
    </w:p>
    <w:p w14:paraId="67A7784D" w14:textId="77777777" w:rsidR="00643464" w:rsidRDefault="00000000">
      <w:pPr>
        <w:pStyle w:val="Heading2"/>
      </w:pPr>
      <w:r>
        <w:t>Deputy</w:t>
      </w:r>
      <w:r>
        <w:rPr>
          <w:spacing w:val="-6"/>
        </w:rPr>
        <w:t xml:space="preserve"> </w:t>
      </w:r>
      <w:r>
        <w:t>Program</w:t>
      </w:r>
      <w:r>
        <w:rPr>
          <w:spacing w:val="-5"/>
        </w:rPr>
        <w:t xml:space="preserve"> </w:t>
      </w:r>
      <w:r>
        <w:rPr>
          <w:spacing w:val="-2"/>
        </w:rPr>
        <w:t>Manager</w:t>
      </w:r>
    </w:p>
    <w:p w14:paraId="67A7784E" w14:textId="77777777" w:rsidR="00643464" w:rsidRDefault="00000000">
      <w:pPr>
        <w:pStyle w:val="BodyText"/>
        <w:ind w:left="196"/>
      </w:pPr>
      <w:r>
        <w:t xml:space="preserve">POC: Kim </w:t>
      </w:r>
      <w:r>
        <w:rPr>
          <w:spacing w:val="-2"/>
        </w:rPr>
        <w:t>Lambert</w:t>
      </w:r>
    </w:p>
    <w:p w14:paraId="67A7784F" w14:textId="77777777" w:rsidR="00643464" w:rsidRDefault="00000000">
      <w:pPr>
        <w:pStyle w:val="BodyText"/>
        <w:spacing w:line="249" w:lineRule="auto"/>
        <w:ind w:left="196" w:right="8653"/>
      </w:pPr>
      <w:r>
        <w:t>Email:</w:t>
      </w:r>
      <w:r>
        <w:rPr>
          <w:spacing w:val="-13"/>
        </w:rPr>
        <w:t xml:space="preserve"> </w:t>
      </w:r>
      <w:hyperlink r:id="rId7">
        <w:r>
          <w:t>kim@betterdirect.com</w:t>
        </w:r>
      </w:hyperlink>
      <w:r>
        <w:t xml:space="preserve"> Phone: 480-921-3858x133</w:t>
      </w:r>
    </w:p>
    <w:p w14:paraId="67A77850" w14:textId="77777777" w:rsidR="00643464" w:rsidRDefault="00643464">
      <w:pPr>
        <w:pStyle w:val="BodyText"/>
        <w:spacing w:before="11"/>
      </w:pPr>
    </w:p>
    <w:p w14:paraId="67A77851" w14:textId="77777777" w:rsidR="00643464" w:rsidRDefault="00000000">
      <w:pPr>
        <w:pStyle w:val="BodyText"/>
        <w:spacing w:before="0"/>
        <w:ind w:left="196"/>
      </w:pPr>
      <w:r>
        <w:t>POP:</w:t>
      </w:r>
      <w:r>
        <w:rPr>
          <w:spacing w:val="-4"/>
        </w:rPr>
        <w:t xml:space="preserve"> </w:t>
      </w:r>
      <w:r>
        <w:t>April</w:t>
      </w:r>
      <w:r>
        <w:rPr>
          <w:spacing w:val="-1"/>
        </w:rPr>
        <w:t xml:space="preserve"> </w:t>
      </w:r>
      <w:r>
        <w:t>30,</w:t>
      </w:r>
      <w:r>
        <w:rPr>
          <w:spacing w:val="-1"/>
        </w:rPr>
        <w:t xml:space="preserve"> </w:t>
      </w:r>
      <w:r>
        <w:t>2015-</w:t>
      </w:r>
      <w:r>
        <w:rPr>
          <w:spacing w:val="-2"/>
        </w:rPr>
        <w:t xml:space="preserve"> </w:t>
      </w:r>
      <w:r>
        <w:t>April</w:t>
      </w:r>
      <w:r>
        <w:rPr>
          <w:spacing w:val="-1"/>
        </w:rPr>
        <w:t xml:space="preserve"> </w:t>
      </w:r>
      <w:r>
        <w:t>29,</w:t>
      </w:r>
      <w:r>
        <w:rPr>
          <w:spacing w:val="-1"/>
        </w:rPr>
        <w:t xml:space="preserve"> </w:t>
      </w:r>
      <w:r>
        <w:rPr>
          <w:spacing w:val="-4"/>
        </w:rPr>
        <w:t>2025</w:t>
      </w:r>
    </w:p>
    <w:p w14:paraId="67A77852" w14:textId="77777777" w:rsidR="00643464" w:rsidRDefault="00000000">
      <w:pPr>
        <w:pStyle w:val="BodyText"/>
        <w:ind w:left="196"/>
      </w:pPr>
      <w:r>
        <w:t>(5-Year</w:t>
      </w:r>
      <w:r>
        <w:rPr>
          <w:spacing w:val="-2"/>
        </w:rPr>
        <w:t xml:space="preserve"> </w:t>
      </w:r>
      <w:r>
        <w:t>Base</w:t>
      </w:r>
      <w:r>
        <w:rPr>
          <w:spacing w:val="-2"/>
        </w:rPr>
        <w:t xml:space="preserve"> </w:t>
      </w:r>
      <w:r>
        <w:t>w/a</w:t>
      </w:r>
      <w:r>
        <w:rPr>
          <w:spacing w:val="-2"/>
        </w:rPr>
        <w:t xml:space="preserve"> </w:t>
      </w:r>
      <w:r>
        <w:t>5-Year</w:t>
      </w:r>
      <w:r>
        <w:rPr>
          <w:spacing w:val="-2"/>
        </w:rPr>
        <w:t xml:space="preserve"> </w:t>
      </w:r>
      <w:r>
        <w:t>Option</w:t>
      </w:r>
      <w:r>
        <w:rPr>
          <w:spacing w:val="-2"/>
        </w:rPr>
        <w:t xml:space="preserve"> Period)</w:t>
      </w:r>
    </w:p>
    <w:p w14:paraId="67A77853" w14:textId="77777777" w:rsidR="00643464" w:rsidRDefault="00643464">
      <w:pPr>
        <w:pStyle w:val="BodyText"/>
        <w:spacing w:before="18"/>
      </w:pPr>
    </w:p>
    <w:p w14:paraId="67A77854" w14:textId="77777777" w:rsidR="00643464" w:rsidRDefault="00000000">
      <w:pPr>
        <w:pStyle w:val="BodyText"/>
        <w:spacing w:before="0"/>
        <w:ind w:left="196"/>
      </w:pPr>
      <w:hyperlink r:id="rId8">
        <w:r>
          <w:t>https://betterdirect.com/federal-</w:t>
        </w:r>
        <w:r>
          <w:rPr>
            <w:spacing w:val="-2"/>
          </w:rPr>
          <w:t>contracts/</w:t>
        </w:r>
      </w:hyperlink>
    </w:p>
    <w:p w14:paraId="67A77855" w14:textId="77777777" w:rsidR="00643464" w:rsidRDefault="00000000">
      <w:pPr>
        <w:pStyle w:val="Heading1"/>
        <w:spacing w:before="94"/>
        <w:ind w:left="222"/>
      </w:pPr>
      <w:r>
        <w:t xml:space="preserve">Ordering </w:t>
      </w:r>
      <w:r>
        <w:rPr>
          <w:spacing w:val="-2"/>
        </w:rPr>
        <w:t>process:</w:t>
      </w:r>
    </w:p>
    <w:p w14:paraId="67A77856" w14:textId="77777777" w:rsidR="00643464" w:rsidRDefault="00000000">
      <w:pPr>
        <w:pStyle w:val="BodyText"/>
        <w:spacing w:before="21"/>
        <w:ind w:left="222"/>
      </w:pPr>
      <w:hyperlink r:id="rId9">
        <w:r>
          <w:t>Click</w:t>
        </w:r>
        <w:r>
          <w:rPr>
            <w:spacing w:val="-4"/>
          </w:rPr>
          <w:t xml:space="preserve"> </w:t>
        </w:r>
        <w:r>
          <w:t>here</w:t>
        </w:r>
        <w:r>
          <w:rPr>
            <w:spacing w:val="-2"/>
          </w:rPr>
          <w:t xml:space="preserve"> </w:t>
        </w:r>
        <w:r>
          <w:t>for</w:t>
        </w:r>
        <w:r>
          <w:rPr>
            <w:spacing w:val="-2"/>
          </w:rPr>
          <w:t xml:space="preserve"> </w:t>
        </w:r>
        <w:r>
          <w:t>the</w:t>
        </w:r>
        <w:r>
          <w:rPr>
            <w:spacing w:val="-2"/>
          </w:rPr>
          <w:t xml:space="preserve"> </w:t>
        </w:r>
        <w:r>
          <w:t>SEWP</w:t>
        </w:r>
        <w:r>
          <w:rPr>
            <w:spacing w:val="-2"/>
          </w:rPr>
          <w:t xml:space="preserve"> </w:t>
        </w:r>
        <w:r>
          <w:t>ordering</w:t>
        </w:r>
        <w:r>
          <w:rPr>
            <w:spacing w:val="-2"/>
          </w:rPr>
          <w:t xml:space="preserve"> Information</w:t>
        </w:r>
      </w:hyperlink>
    </w:p>
    <w:p w14:paraId="67A77857" w14:textId="77777777" w:rsidR="00643464" w:rsidRDefault="00000000">
      <w:pPr>
        <w:pStyle w:val="Heading1"/>
        <w:spacing w:before="197"/>
        <w:ind w:left="235"/>
      </w:pPr>
      <w:r>
        <w:t>Requesting</w:t>
      </w:r>
      <w:r>
        <w:rPr>
          <w:spacing w:val="-2"/>
        </w:rPr>
        <w:t xml:space="preserve"> </w:t>
      </w:r>
      <w:r>
        <w:t>quote</w:t>
      </w:r>
      <w:r>
        <w:rPr>
          <w:spacing w:val="-2"/>
        </w:rPr>
        <w:t xml:space="preserve"> process:</w:t>
      </w:r>
    </w:p>
    <w:p w14:paraId="67A77858" w14:textId="77777777" w:rsidR="00643464" w:rsidRDefault="00000000">
      <w:pPr>
        <w:pStyle w:val="BodyText"/>
        <w:spacing w:before="116"/>
        <w:ind w:left="209"/>
      </w:pPr>
      <w:r>
        <w:t>There</w:t>
      </w:r>
      <w:r>
        <w:rPr>
          <w:spacing w:val="-3"/>
        </w:rPr>
        <w:t xml:space="preserve"> </w:t>
      </w:r>
      <w:r>
        <w:t>are</w:t>
      </w:r>
      <w:r>
        <w:rPr>
          <w:spacing w:val="-2"/>
        </w:rPr>
        <w:t xml:space="preserve"> </w:t>
      </w:r>
      <w:r>
        <w:t>3</w:t>
      </w:r>
      <w:r>
        <w:rPr>
          <w:spacing w:val="-2"/>
        </w:rPr>
        <w:t xml:space="preserve"> </w:t>
      </w:r>
      <w:r>
        <w:t>methods</w:t>
      </w:r>
      <w:r>
        <w:rPr>
          <w:spacing w:val="-3"/>
        </w:rPr>
        <w:t xml:space="preserve"> </w:t>
      </w:r>
      <w:r>
        <w:t>available</w:t>
      </w:r>
      <w:r>
        <w:rPr>
          <w:spacing w:val="-2"/>
        </w:rPr>
        <w:t xml:space="preserve"> </w:t>
      </w:r>
      <w:r>
        <w:t>to</w:t>
      </w:r>
      <w:r>
        <w:rPr>
          <w:spacing w:val="-2"/>
        </w:rPr>
        <w:t xml:space="preserve"> </w:t>
      </w:r>
      <w:r>
        <w:t>obtain</w:t>
      </w:r>
      <w:r>
        <w:rPr>
          <w:spacing w:val="-2"/>
        </w:rPr>
        <w:t xml:space="preserve"> </w:t>
      </w:r>
      <w:r>
        <w:t>quotes</w:t>
      </w:r>
      <w:r>
        <w:rPr>
          <w:spacing w:val="-3"/>
        </w:rPr>
        <w:t xml:space="preserve"> </w:t>
      </w:r>
      <w:r>
        <w:t>for</w:t>
      </w:r>
      <w:r>
        <w:rPr>
          <w:spacing w:val="-2"/>
        </w:rPr>
        <w:t xml:space="preserve"> </w:t>
      </w:r>
      <w:r>
        <w:t>products</w:t>
      </w:r>
      <w:r>
        <w:rPr>
          <w:spacing w:val="-2"/>
        </w:rPr>
        <w:t xml:space="preserve"> </w:t>
      </w:r>
      <w:r>
        <w:t>and</w:t>
      </w:r>
      <w:r>
        <w:rPr>
          <w:spacing w:val="-2"/>
        </w:rPr>
        <w:t xml:space="preserve"> </w:t>
      </w:r>
      <w:r>
        <w:t>services</w:t>
      </w:r>
      <w:r>
        <w:rPr>
          <w:spacing w:val="-3"/>
        </w:rPr>
        <w:t xml:space="preserve"> </w:t>
      </w:r>
      <w:r>
        <w:t>which</w:t>
      </w:r>
      <w:r>
        <w:rPr>
          <w:spacing w:val="-2"/>
        </w:rPr>
        <w:t xml:space="preserve"> </w:t>
      </w:r>
      <w:r>
        <w:t>are</w:t>
      </w:r>
      <w:r>
        <w:rPr>
          <w:spacing w:val="-2"/>
        </w:rPr>
        <w:t xml:space="preserve"> </w:t>
      </w:r>
      <w:r>
        <w:t>listed</w:t>
      </w:r>
      <w:r>
        <w:rPr>
          <w:spacing w:val="-2"/>
        </w:rPr>
        <w:t xml:space="preserve"> </w:t>
      </w:r>
      <w:r>
        <w:t>in</w:t>
      </w:r>
      <w:r>
        <w:rPr>
          <w:spacing w:val="-3"/>
        </w:rPr>
        <w:t xml:space="preserve"> </w:t>
      </w:r>
      <w:r>
        <w:t>order</w:t>
      </w:r>
      <w:r>
        <w:rPr>
          <w:spacing w:val="-2"/>
        </w:rPr>
        <w:t xml:space="preserve"> </w:t>
      </w:r>
      <w:r>
        <w:t>of</w:t>
      </w:r>
      <w:r>
        <w:rPr>
          <w:spacing w:val="-2"/>
        </w:rPr>
        <w:t xml:space="preserve"> </w:t>
      </w:r>
      <w:r>
        <w:t>preference</w:t>
      </w:r>
      <w:r>
        <w:rPr>
          <w:spacing w:val="-2"/>
        </w:rPr>
        <w:t xml:space="preserve"> below.</w:t>
      </w:r>
    </w:p>
    <w:p w14:paraId="67A77859" w14:textId="77777777" w:rsidR="00643464" w:rsidRDefault="00000000">
      <w:pPr>
        <w:pStyle w:val="ListParagraph"/>
        <w:numPr>
          <w:ilvl w:val="0"/>
          <w:numId w:val="1"/>
        </w:numPr>
        <w:tabs>
          <w:tab w:val="left" w:pos="994"/>
        </w:tabs>
        <w:spacing w:before="137"/>
        <w:jc w:val="left"/>
        <w:rPr>
          <w:sz w:val="18"/>
        </w:rPr>
      </w:pPr>
      <w:r>
        <w:rPr>
          <w:sz w:val="18"/>
        </w:rPr>
        <w:t>Utilize</w:t>
      </w:r>
      <w:r>
        <w:rPr>
          <w:spacing w:val="-2"/>
          <w:sz w:val="18"/>
        </w:rPr>
        <w:t xml:space="preserve"> </w:t>
      </w:r>
      <w:r>
        <w:rPr>
          <w:sz w:val="18"/>
        </w:rPr>
        <w:t>the</w:t>
      </w:r>
      <w:r>
        <w:rPr>
          <w:spacing w:val="-2"/>
          <w:sz w:val="18"/>
        </w:rPr>
        <w:t xml:space="preserve"> </w:t>
      </w:r>
      <w:r>
        <w:rPr>
          <w:sz w:val="18"/>
        </w:rPr>
        <w:t>NASA</w:t>
      </w:r>
      <w:r>
        <w:rPr>
          <w:spacing w:val="-2"/>
          <w:sz w:val="18"/>
        </w:rPr>
        <w:t xml:space="preserve"> </w:t>
      </w:r>
      <w:r>
        <w:rPr>
          <w:sz w:val="18"/>
        </w:rPr>
        <w:t>SEWP</w:t>
      </w:r>
      <w:r>
        <w:rPr>
          <w:spacing w:val="-2"/>
          <w:sz w:val="18"/>
        </w:rPr>
        <w:t xml:space="preserve"> </w:t>
      </w:r>
      <w:r>
        <w:rPr>
          <w:sz w:val="18"/>
        </w:rPr>
        <w:t>QRT</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following</w:t>
      </w:r>
      <w:r>
        <w:rPr>
          <w:spacing w:val="-2"/>
          <w:sz w:val="18"/>
        </w:rPr>
        <w:t xml:space="preserve"> </w:t>
      </w:r>
      <w:r>
        <w:rPr>
          <w:sz w:val="18"/>
        </w:rPr>
        <w:t>URL:</w:t>
      </w:r>
      <w:r>
        <w:rPr>
          <w:spacing w:val="-2"/>
          <w:sz w:val="18"/>
        </w:rPr>
        <w:t xml:space="preserve"> </w:t>
      </w:r>
      <w:hyperlink r:id="rId10">
        <w:r>
          <w:rPr>
            <w:spacing w:val="-2"/>
            <w:sz w:val="18"/>
          </w:rPr>
          <w:t>https://sewp.nasa.gov/sewp5public/security/login.sa</w:t>
        </w:r>
      </w:hyperlink>
    </w:p>
    <w:p w14:paraId="67A7785A" w14:textId="77777777" w:rsidR="00643464" w:rsidRDefault="00000000">
      <w:pPr>
        <w:pStyle w:val="ListParagraph"/>
        <w:numPr>
          <w:ilvl w:val="0"/>
          <w:numId w:val="1"/>
        </w:numPr>
        <w:tabs>
          <w:tab w:val="left" w:pos="994"/>
        </w:tabs>
        <w:ind w:hanging="760"/>
        <w:jc w:val="left"/>
        <w:rPr>
          <w:sz w:val="18"/>
        </w:rPr>
      </w:pPr>
      <w:r>
        <w:rPr>
          <w:sz w:val="18"/>
        </w:rPr>
        <w:t>Contact</w:t>
      </w:r>
      <w:r>
        <w:rPr>
          <w:spacing w:val="-4"/>
          <w:sz w:val="18"/>
        </w:rPr>
        <w:t xml:space="preserve"> </w:t>
      </w:r>
      <w:r>
        <w:rPr>
          <w:sz w:val="18"/>
        </w:rPr>
        <w:t>a</w:t>
      </w:r>
      <w:r>
        <w:rPr>
          <w:spacing w:val="-4"/>
          <w:sz w:val="18"/>
        </w:rPr>
        <w:t xml:space="preserve"> </w:t>
      </w:r>
      <w:r>
        <w:rPr>
          <w:sz w:val="18"/>
        </w:rPr>
        <w:t>Better</w:t>
      </w:r>
      <w:r>
        <w:rPr>
          <w:spacing w:val="-4"/>
          <w:sz w:val="18"/>
        </w:rPr>
        <w:t xml:space="preserve"> </w:t>
      </w:r>
      <w:r>
        <w:rPr>
          <w:sz w:val="18"/>
        </w:rPr>
        <w:t>Direct</w:t>
      </w:r>
      <w:r>
        <w:rPr>
          <w:spacing w:val="-3"/>
          <w:sz w:val="18"/>
        </w:rPr>
        <w:t xml:space="preserve"> </w:t>
      </w:r>
      <w:r>
        <w:rPr>
          <w:sz w:val="18"/>
        </w:rPr>
        <w:t>Representative</w:t>
      </w:r>
      <w:r>
        <w:rPr>
          <w:spacing w:val="-4"/>
          <w:sz w:val="18"/>
        </w:rPr>
        <w:t xml:space="preserve"> </w:t>
      </w:r>
      <w:r>
        <w:rPr>
          <w:sz w:val="18"/>
        </w:rPr>
        <w:t>directly</w:t>
      </w:r>
      <w:r>
        <w:rPr>
          <w:spacing w:val="-4"/>
          <w:sz w:val="18"/>
        </w:rPr>
        <w:t xml:space="preserve"> </w:t>
      </w:r>
      <w:r>
        <w:rPr>
          <w:sz w:val="18"/>
        </w:rPr>
        <w:t>sales</w:t>
      </w:r>
      <w:r>
        <w:rPr>
          <w:spacing w:val="-4"/>
          <w:sz w:val="18"/>
        </w:rPr>
        <w:t xml:space="preserve"> </w:t>
      </w:r>
      <w:r>
        <w:rPr>
          <w:sz w:val="18"/>
        </w:rPr>
        <w:t>representative</w:t>
      </w:r>
      <w:r>
        <w:rPr>
          <w:spacing w:val="-3"/>
          <w:sz w:val="18"/>
        </w:rPr>
        <w:t xml:space="preserve"> </w:t>
      </w:r>
      <w:r>
        <w:rPr>
          <w:sz w:val="18"/>
        </w:rPr>
        <w:t>via</w:t>
      </w:r>
      <w:r>
        <w:rPr>
          <w:spacing w:val="-4"/>
          <w:sz w:val="18"/>
        </w:rPr>
        <w:t xml:space="preserve"> </w:t>
      </w:r>
      <w:r>
        <w:rPr>
          <w:sz w:val="18"/>
        </w:rPr>
        <w:t>phone</w:t>
      </w:r>
      <w:r>
        <w:rPr>
          <w:spacing w:val="-4"/>
          <w:sz w:val="18"/>
        </w:rPr>
        <w:t xml:space="preserve"> </w:t>
      </w:r>
      <w:r>
        <w:rPr>
          <w:sz w:val="18"/>
        </w:rPr>
        <w:t>by</w:t>
      </w:r>
      <w:r>
        <w:rPr>
          <w:spacing w:val="-4"/>
          <w:sz w:val="18"/>
        </w:rPr>
        <w:t xml:space="preserve"> </w:t>
      </w:r>
      <w:r>
        <w:rPr>
          <w:sz w:val="18"/>
        </w:rPr>
        <w:t>dialing</w:t>
      </w:r>
      <w:r>
        <w:rPr>
          <w:spacing w:val="-3"/>
          <w:sz w:val="18"/>
        </w:rPr>
        <w:t xml:space="preserve"> </w:t>
      </w:r>
      <w:r>
        <w:rPr>
          <w:sz w:val="18"/>
        </w:rPr>
        <w:t>(800)-921-3858</w:t>
      </w:r>
      <w:r>
        <w:rPr>
          <w:spacing w:val="42"/>
          <w:sz w:val="18"/>
        </w:rPr>
        <w:t xml:space="preserve"> </w:t>
      </w:r>
      <w:r>
        <w:rPr>
          <w:sz w:val="18"/>
        </w:rPr>
        <w:t>Option</w:t>
      </w:r>
      <w:r>
        <w:rPr>
          <w:spacing w:val="-3"/>
          <w:sz w:val="18"/>
        </w:rPr>
        <w:t xml:space="preserve"> </w:t>
      </w:r>
      <w:r>
        <w:rPr>
          <w:spacing w:val="-10"/>
          <w:sz w:val="18"/>
        </w:rPr>
        <w:t>0</w:t>
      </w:r>
    </w:p>
    <w:p w14:paraId="67A7785B" w14:textId="77777777" w:rsidR="00643464" w:rsidRDefault="00000000">
      <w:pPr>
        <w:pStyle w:val="ListParagraph"/>
        <w:numPr>
          <w:ilvl w:val="0"/>
          <w:numId w:val="1"/>
        </w:numPr>
        <w:tabs>
          <w:tab w:val="left" w:pos="994"/>
        </w:tabs>
        <w:ind w:hanging="800"/>
        <w:jc w:val="left"/>
        <w:rPr>
          <w:sz w:val="18"/>
        </w:rPr>
      </w:pPr>
      <w:r>
        <w:rPr>
          <w:sz w:val="18"/>
        </w:rPr>
        <w:t>Contact</w:t>
      </w:r>
      <w:r>
        <w:rPr>
          <w:spacing w:val="-2"/>
          <w:sz w:val="18"/>
        </w:rPr>
        <w:t xml:space="preserve"> </w:t>
      </w:r>
      <w:r>
        <w:rPr>
          <w:sz w:val="18"/>
        </w:rPr>
        <w:t>us</w:t>
      </w:r>
      <w:r>
        <w:rPr>
          <w:spacing w:val="-1"/>
          <w:sz w:val="18"/>
        </w:rPr>
        <w:t xml:space="preserve"> </w:t>
      </w:r>
      <w:r>
        <w:rPr>
          <w:sz w:val="18"/>
        </w:rPr>
        <w:t>via</w:t>
      </w:r>
      <w:r>
        <w:rPr>
          <w:spacing w:val="-1"/>
          <w:sz w:val="18"/>
        </w:rPr>
        <w:t xml:space="preserve"> </w:t>
      </w:r>
      <w:r>
        <w:rPr>
          <w:sz w:val="18"/>
        </w:rPr>
        <w:t>email</w:t>
      </w:r>
      <w:r>
        <w:rPr>
          <w:spacing w:val="-1"/>
          <w:sz w:val="18"/>
        </w:rPr>
        <w:t xml:space="preserve"> </w:t>
      </w:r>
      <w:r>
        <w:rPr>
          <w:sz w:val="18"/>
        </w:rPr>
        <w:t>at</w:t>
      </w:r>
      <w:r>
        <w:rPr>
          <w:spacing w:val="-2"/>
          <w:sz w:val="18"/>
        </w:rPr>
        <w:t xml:space="preserve"> </w:t>
      </w:r>
      <w:hyperlink r:id="rId11">
        <w:r>
          <w:rPr>
            <w:spacing w:val="-2"/>
            <w:sz w:val="18"/>
          </w:rPr>
          <w:t>mitchel@betterdirect.com</w:t>
        </w:r>
      </w:hyperlink>
    </w:p>
    <w:p w14:paraId="67A7785C" w14:textId="77777777" w:rsidR="00643464" w:rsidRDefault="00000000">
      <w:pPr>
        <w:pStyle w:val="Heading1"/>
        <w:spacing w:before="202"/>
        <w:ind w:left="196"/>
      </w:pPr>
      <w:r>
        <w:t>Fair</w:t>
      </w:r>
      <w:r>
        <w:rPr>
          <w:spacing w:val="-3"/>
        </w:rPr>
        <w:t xml:space="preserve"> </w:t>
      </w:r>
      <w:r>
        <w:rPr>
          <w:spacing w:val="-2"/>
        </w:rPr>
        <w:t>Opportunity:</w:t>
      </w:r>
    </w:p>
    <w:p w14:paraId="67A7785D" w14:textId="77777777" w:rsidR="00643464" w:rsidRDefault="00000000">
      <w:pPr>
        <w:pStyle w:val="BodyText"/>
        <w:spacing w:before="21" w:line="249" w:lineRule="auto"/>
        <w:ind w:left="196" w:right="158"/>
      </w:pPr>
      <w:r>
        <w:t>FAR</w:t>
      </w:r>
      <w:r>
        <w:rPr>
          <w:spacing w:val="-2"/>
        </w:rPr>
        <w:t xml:space="preserve"> </w:t>
      </w:r>
      <w:r>
        <w:t>16.505(b)</w:t>
      </w:r>
      <w:r>
        <w:rPr>
          <w:spacing w:val="-2"/>
        </w:rPr>
        <w:t xml:space="preserve"> </w:t>
      </w:r>
      <w:r>
        <w:t>(1)</w:t>
      </w:r>
      <w:r>
        <w:rPr>
          <w:spacing w:val="-2"/>
        </w:rPr>
        <w:t xml:space="preserve"> </w:t>
      </w:r>
      <w:r>
        <w:t>provides</w:t>
      </w:r>
      <w:r>
        <w:rPr>
          <w:spacing w:val="-2"/>
        </w:rPr>
        <w:t xml:space="preserve"> </w:t>
      </w:r>
      <w:r>
        <w:t>that</w:t>
      </w:r>
      <w:r>
        <w:rPr>
          <w:spacing w:val="-2"/>
        </w:rPr>
        <w:t xml:space="preserve"> </w:t>
      </w:r>
      <w:r>
        <w:t>each</w:t>
      </w:r>
      <w:r>
        <w:rPr>
          <w:spacing w:val="-2"/>
        </w:rPr>
        <w:t xml:space="preserve"> </w:t>
      </w:r>
      <w:r>
        <w:t>contractor</w:t>
      </w:r>
      <w:r>
        <w:rPr>
          <w:spacing w:val="-2"/>
        </w:rPr>
        <w:t xml:space="preserve"> </w:t>
      </w:r>
      <w:r>
        <w:t>shall</w:t>
      </w:r>
      <w:r>
        <w:rPr>
          <w:spacing w:val="-2"/>
        </w:rPr>
        <w:t xml:space="preserve"> </w:t>
      </w:r>
      <w:r>
        <w:t>be</w:t>
      </w:r>
      <w:r>
        <w:rPr>
          <w:spacing w:val="-2"/>
        </w:rPr>
        <w:t xml:space="preserve"> </w:t>
      </w:r>
      <w:r>
        <w:t>given</w:t>
      </w:r>
      <w:r>
        <w:rPr>
          <w:spacing w:val="-2"/>
        </w:rPr>
        <w:t xml:space="preserve"> </w:t>
      </w:r>
      <w:r>
        <w:t>fair</w:t>
      </w:r>
      <w:r>
        <w:rPr>
          <w:spacing w:val="-2"/>
        </w:rPr>
        <w:t xml:space="preserve"> </w:t>
      </w:r>
      <w:r>
        <w:t>opportunity</w:t>
      </w:r>
      <w:r>
        <w:rPr>
          <w:spacing w:val="-2"/>
        </w:rPr>
        <w:t xml:space="preserve"> </w:t>
      </w:r>
      <w:r>
        <w:t>to</w:t>
      </w:r>
      <w:r>
        <w:rPr>
          <w:spacing w:val="-2"/>
        </w:rPr>
        <w:t xml:space="preserve"> </w:t>
      </w:r>
      <w:r>
        <w:t>be</w:t>
      </w:r>
      <w:r>
        <w:rPr>
          <w:spacing w:val="-2"/>
        </w:rPr>
        <w:t xml:space="preserve"> </w:t>
      </w:r>
      <w:r>
        <w:t>considered</w:t>
      </w:r>
      <w:r>
        <w:rPr>
          <w:spacing w:val="-2"/>
        </w:rPr>
        <w:t xml:space="preserve"> </w:t>
      </w:r>
      <w:r>
        <w:t>for</w:t>
      </w:r>
      <w:r>
        <w:rPr>
          <w:spacing w:val="-2"/>
        </w:rPr>
        <w:t xml:space="preserve"> </w:t>
      </w:r>
      <w:r>
        <w:t>each</w:t>
      </w:r>
      <w:r>
        <w:rPr>
          <w:spacing w:val="-2"/>
        </w:rPr>
        <w:t xml:space="preserve"> </w:t>
      </w:r>
      <w:r>
        <w:t>order</w:t>
      </w:r>
      <w:r>
        <w:rPr>
          <w:spacing w:val="-2"/>
        </w:rPr>
        <w:t xml:space="preserve"> </w:t>
      </w:r>
      <w:r>
        <w:t>under</w:t>
      </w:r>
      <w:r>
        <w:rPr>
          <w:spacing w:val="-2"/>
        </w:rPr>
        <w:t xml:space="preserve"> </w:t>
      </w:r>
      <w:r>
        <w:t>the</w:t>
      </w:r>
      <w:r>
        <w:rPr>
          <w:spacing w:val="-2"/>
        </w:rPr>
        <w:t xml:space="preserve"> </w:t>
      </w:r>
      <w:r>
        <w:t>micro- purchase threshold, typically $10,000, and issued under multiple award contracts.</w:t>
      </w:r>
    </w:p>
    <w:p w14:paraId="67A7785E" w14:textId="77777777" w:rsidR="00643464" w:rsidRDefault="00000000">
      <w:pPr>
        <w:pStyle w:val="BodyText"/>
        <w:spacing w:before="50"/>
        <w:ind w:left="196"/>
      </w:pPr>
      <w:hyperlink r:id="rId12">
        <w:r>
          <w:t>Please</w:t>
        </w:r>
        <w:r>
          <w:rPr>
            <w:spacing w:val="-2"/>
          </w:rPr>
          <w:t xml:space="preserve"> </w:t>
        </w:r>
        <w:r>
          <w:t>click</w:t>
        </w:r>
        <w:r>
          <w:rPr>
            <w:spacing w:val="-1"/>
          </w:rPr>
          <w:t xml:space="preserve"> </w:t>
        </w:r>
        <w:r>
          <w:t>here</w:t>
        </w:r>
        <w:r>
          <w:rPr>
            <w:spacing w:val="-1"/>
          </w:rPr>
          <w:t xml:space="preserve"> </w:t>
        </w:r>
        <w:r>
          <w:t>for</w:t>
        </w:r>
        <w:r>
          <w:rPr>
            <w:spacing w:val="-1"/>
          </w:rPr>
          <w:t xml:space="preserve"> </w:t>
        </w:r>
        <w:r>
          <w:t>FAR</w:t>
        </w:r>
        <w:r>
          <w:rPr>
            <w:spacing w:val="-2"/>
          </w:rPr>
          <w:t xml:space="preserve"> </w:t>
        </w:r>
        <w:r>
          <w:t>16.505(b)</w:t>
        </w:r>
        <w:r>
          <w:rPr>
            <w:spacing w:val="-1"/>
          </w:rPr>
          <w:t xml:space="preserve"> </w:t>
        </w:r>
        <w:r>
          <w:t>fair</w:t>
        </w:r>
        <w:r>
          <w:rPr>
            <w:spacing w:val="-1"/>
          </w:rPr>
          <w:t xml:space="preserve"> </w:t>
        </w:r>
        <w:r>
          <w:t>opportunity</w:t>
        </w:r>
        <w:r>
          <w:rPr>
            <w:spacing w:val="-1"/>
          </w:rPr>
          <w:t xml:space="preserve"> </w:t>
        </w:r>
        <w:r>
          <w:rPr>
            <w:spacing w:val="-2"/>
          </w:rPr>
          <w:t>information</w:t>
        </w:r>
      </w:hyperlink>
    </w:p>
    <w:p w14:paraId="67A7785F" w14:textId="77777777" w:rsidR="00643464" w:rsidRDefault="00000000">
      <w:pPr>
        <w:pStyle w:val="Heading1"/>
        <w:spacing w:before="49"/>
      </w:pPr>
      <w:r>
        <w:t>Questions</w:t>
      </w:r>
      <w:r>
        <w:rPr>
          <w:spacing w:val="-4"/>
        </w:rPr>
        <w:t xml:space="preserve"> </w:t>
      </w:r>
      <w:r>
        <w:t>on</w:t>
      </w:r>
      <w:r>
        <w:rPr>
          <w:spacing w:val="-4"/>
        </w:rPr>
        <w:t xml:space="preserve"> </w:t>
      </w:r>
      <w:r>
        <w:rPr>
          <w:spacing w:val="-2"/>
        </w:rPr>
        <w:t>orders:</w:t>
      </w:r>
    </w:p>
    <w:p w14:paraId="67A77860" w14:textId="77777777" w:rsidR="00643464" w:rsidRDefault="00000000">
      <w:pPr>
        <w:pStyle w:val="BodyText"/>
        <w:spacing w:before="20" w:line="249" w:lineRule="auto"/>
        <w:ind w:left="183" w:right="1950"/>
      </w:pPr>
      <w:r>
        <w:t>For</w:t>
      </w:r>
      <w:r>
        <w:rPr>
          <w:spacing w:val="-3"/>
        </w:rPr>
        <w:t xml:space="preserve"> </w:t>
      </w:r>
      <w:r>
        <w:t>any</w:t>
      </w:r>
      <w:r>
        <w:rPr>
          <w:spacing w:val="-4"/>
        </w:rPr>
        <w:t xml:space="preserve"> </w:t>
      </w:r>
      <w:r>
        <w:t>questions</w:t>
      </w:r>
      <w:r>
        <w:rPr>
          <w:spacing w:val="-4"/>
        </w:rPr>
        <w:t xml:space="preserve"> </w:t>
      </w:r>
      <w:r>
        <w:t>about</w:t>
      </w:r>
      <w:r>
        <w:rPr>
          <w:spacing w:val="-3"/>
        </w:rPr>
        <w:t xml:space="preserve"> </w:t>
      </w:r>
      <w:r>
        <w:t>orders</w:t>
      </w:r>
      <w:r>
        <w:rPr>
          <w:spacing w:val="-3"/>
        </w:rPr>
        <w:t xml:space="preserve"> </w:t>
      </w:r>
      <w:r>
        <w:t>placed</w:t>
      </w:r>
      <w:r>
        <w:rPr>
          <w:spacing w:val="-3"/>
        </w:rPr>
        <w:t xml:space="preserve"> </w:t>
      </w:r>
      <w:r>
        <w:t>against</w:t>
      </w:r>
      <w:r>
        <w:rPr>
          <w:spacing w:val="-3"/>
        </w:rPr>
        <w:t xml:space="preserve"> </w:t>
      </w:r>
      <w:r>
        <w:t>the</w:t>
      </w:r>
      <w:r>
        <w:rPr>
          <w:spacing w:val="-3"/>
        </w:rPr>
        <w:t xml:space="preserve"> </w:t>
      </w:r>
      <w:r>
        <w:t>SEWP</w:t>
      </w:r>
      <w:r>
        <w:rPr>
          <w:spacing w:val="-3"/>
        </w:rPr>
        <w:t xml:space="preserve"> </w:t>
      </w:r>
      <w:r>
        <w:t>contract,</w:t>
      </w:r>
      <w:r>
        <w:rPr>
          <w:spacing w:val="-3"/>
        </w:rPr>
        <w:t xml:space="preserve"> </w:t>
      </w:r>
      <w:r>
        <w:t>Customer</w:t>
      </w:r>
      <w:r>
        <w:rPr>
          <w:spacing w:val="-3"/>
        </w:rPr>
        <w:t xml:space="preserve"> </w:t>
      </w:r>
      <w:r>
        <w:t>Service</w:t>
      </w:r>
      <w:r>
        <w:rPr>
          <w:spacing w:val="-3"/>
        </w:rPr>
        <w:t xml:space="preserve"> </w:t>
      </w:r>
      <w:r>
        <w:t>can</w:t>
      </w:r>
      <w:r>
        <w:rPr>
          <w:spacing w:val="-3"/>
        </w:rPr>
        <w:t xml:space="preserve"> </w:t>
      </w:r>
      <w:r>
        <w:t>be</w:t>
      </w:r>
      <w:r>
        <w:rPr>
          <w:spacing w:val="-3"/>
        </w:rPr>
        <w:t xml:space="preserve"> </w:t>
      </w:r>
      <w:r>
        <w:t>contacted</w:t>
      </w:r>
      <w:r>
        <w:rPr>
          <w:spacing w:val="-3"/>
        </w:rPr>
        <w:t xml:space="preserve"> </w:t>
      </w:r>
      <w:r>
        <w:t>by</w:t>
      </w:r>
      <w:r>
        <w:rPr>
          <w:spacing w:val="-3"/>
        </w:rPr>
        <w:t xml:space="preserve"> </w:t>
      </w:r>
      <w:r>
        <w:t xml:space="preserve">calling 866-921-3858 or emailing </w:t>
      </w:r>
      <w:hyperlink r:id="rId13">
        <w:r>
          <w:t>mitchel@betterdirect.com</w:t>
        </w:r>
      </w:hyperlink>
    </w:p>
    <w:p w14:paraId="67A77861" w14:textId="77777777" w:rsidR="00643464" w:rsidRDefault="00000000">
      <w:pPr>
        <w:pStyle w:val="BodyText"/>
        <w:spacing w:before="2"/>
        <w:ind w:left="183"/>
      </w:pPr>
      <w:r>
        <w:t>When</w:t>
      </w:r>
      <w:r>
        <w:rPr>
          <w:spacing w:val="-2"/>
        </w:rPr>
        <w:t xml:space="preserve"> </w:t>
      </w:r>
      <w:r>
        <w:t>contacting</w:t>
      </w:r>
      <w:r>
        <w:rPr>
          <w:spacing w:val="-2"/>
        </w:rPr>
        <w:t xml:space="preserve"> </w:t>
      </w:r>
      <w:r>
        <w:t>Better</w:t>
      </w:r>
      <w:r>
        <w:rPr>
          <w:spacing w:val="-1"/>
        </w:rPr>
        <w:t xml:space="preserve"> </w:t>
      </w:r>
      <w:r>
        <w:t>Direct,</w:t>
      </w:r>
      <w:r>
        <w:rPr>
          <w:spacing w:val="-2"/>
        </w:rPr>
        <w:t xml:space="preserve"> </w:t>
      </w:r>
      <w:r>
        <w:t>please</w:t>
      </w:r>
      <w:r>
        <w:rPr>
          <w:spacing w:val="-2"/>
        </w:rPr>
        <w:t xml:space="preserve"> </w:t>
      </w:r>
      <w:r>
        <w:t>have</w:t>
      </w:r>
      <w:r>
        <w:rPr>
          <w:spacing w:val="-1"/>
        </w:rPr>
        <w:t xml:space="preserve"> </w:t>
      </w:r>
      <w:r>
        <w:t>your</w:t>
      </w:r>
      <w:r>
        <w:rPr>
          <w:spacing w:val="-2"/>
        </w:rPr>
        <w:t xml:space="preserve"> </w:t>
      </w:r>
      <w:r>
        <w:t>Better</w:t>
      </w:r>
      <w:r>
        <w:rPr>
          <w:spacing w:val="-2"/>
        </w:rPr>
        <w:t xml:space="preserve"> </w:t>
      </w:r>
      <w:r>
        <w:t>Direct</w:t>
      </w:r>
      <w:r>
        <w:rPr>
          <w:spacing w:val="-1"/>
        </w:rPr>
        <w:t xml:space="preserve"> </w:t>
      </w:r>
      <w:r>
        <w:t>order</w:t>
      </w:r>
      <w:r>
        <w:rPr>
          <w:spacing w:val="-2"/>
        </w:rPr>
        <w:t xml:space="preserve"> </w:t>
      </w:r>
      <w:r>
        <w:t>number</w:t>
      </w:r>
      <w:r>
        <w:rPr>
          <w:spacing w:val="-2"/>
        </w:rPr>
        <w:t xml:space="preserve"> </w:t>
      </w:r>
      <w:r>
        <w:t>or</w:t>
      </w:r>
      <w:r>
        <w:rPr>
          <w:spacing w:val="-1"/>
        </w:rPr>
        <w:t xml:space="preserve"> </w:t>
      </w:r>
      <w:r>
        <w:t>purchase</w:t>
      </w:r>
      <w:r>
        <w:rPr>
          <w:spacing w:val="-2"/>
        </w:rPr>
        <w:t xml:space="preserve"> </w:t>
      </w:r>
      <w:r>
        <w:t>order</w:t>
      </w:r>
      <w:r>
        <w:rPr>
          <w:spacing w:val="-2"/>
        </w:rPr>
        <w:t xml:space="preserve"> </w:t>
      </w:r>
      <w:r>
        <w:t>number</w:t>
      </w:r>
      <w:r>
        <w:rPr>
          <w:spacing w:val="-1"/>
        </w:rPr>
        <w:t xml:space="preserve"> </w:t>
      </w:r>
      <w:r>
        <w:t>so</w:t>
      </w:r>
      <w:r>
        <w:rPr>
          <w:spacing w:val="-2"/>
        </w:rPr>
        <w:t xml:space="preserve"> </w:t>
      </w:r>
      <w:r>
        <w:t>we</w:t>
      </w:r>
      <w:r>
        <w:rPr>
          <w:spacing w:val="-2"/>
        </w:rPr>
        <w:t xml:space="preserve"> </w:t>
      </w:r>
      <w:r>
        <w:t>can</w:t>
      </w:r>
      <w:r>
        <w:rPr>
          <w:spacing w:val="-1"/>
        </w:rPr>
        <w:t xml:space="preserve"> </w:t>
      </w:r>
      <w:r>
        <w:t>assist</w:t>
      </w:r>
      <w:r>
        <w:rPr>
          <w:spacing w:val="-2"/>
        </w:rPr>
        <w:t xml:space="preserve"> </w:t>
      </w:r>
      <w:r>
        <w:t>you</w:t>
      </w:r>
      <w:r>
        <w:rPr>
          <w:spacing w:val="-1"/>
        </w:rPr>
        <w:t xml:space="preserve"> </w:t>
      </w:r>
      <w:r>
        <w:rPr>
          <w:spacing w:val="-2"/>
        </w:rPr>
        <w:t>quickly.</w:t>
      </w:r>
    </w:p>
    <w:p w14:paraId="67A77862" w14:textId="77777777" w:rsidR="00643464" w:rsidRDefault="00643464">
      <w:pPr>
        <w:pStyle w:val="BodyText"/>
        <w:spacing w:before="0"/>
      </w:pPr>
    </w:p>
    <w:p w14:paraId="67A77863" w14:textId="77777777" w:rsidR="00643464" w:rsidRDefault="00643464">
      <w:pPr>
        <w:pStyle w:val="BodyText"/>
        <w:spacing w:before="32"/>
      </w:pPr>
    </w:p>
    <w:p w14:paraId="67A77864" w14:textId="77777777" w:rsidR="00643464" w:rsidRDefault="00000000">
      <w:pPr>
        <w:pStyle w:val="BodyText"/>
        <w:spacing w:before="0"/>
        <w:ind w:left="1780"/>
      </w:pPr>
      <w:r>
        <w:t>CAGE:</w:t>
      </w:r>
      <w:r>
        <w:rPr>
          <w:spacing w:val="-2"/>
        </w:rPr>
        <w:t xml:space="preserve"> </w:t>
      </w:r>
      <w:r>
        <w:t>4JN18</w:t>
      </w:r>
      <w:r>
        <w:rPr>
          <w:spacing w:val="47"/>
        </w:rPr>
        <w:t xml:space="preserve"> </w:t>
      </w:r>
      <w:r>
        <w:t>UEI:</w:t>
      </w:r>
      <w:r>
        <w:rPr>
          <w:spacing w:val="-1"/>
        </w:rPr>
        <w:t xml:space="preserve"> </w:t>
      </w:r>
      <w:r>
        <w:t>J6EEK881G8H7</w:t>
      </w:r>
      <w:r>
        <w:rPr>
          <w:spacing w:val="-2"/>
        </w:rPr>
        <w:t xml:space="preserve"> </w:t>
      </w:r>
      <w:r>
        <w:t>Business</w:t>
      </w:r>
      <w:r>
        <w:rPr>
          <w:spacing w:val="-1"/>
        </w:rPr>
        <w:t xml:space="preserve"> </w:t>
      </w:r>
      <w:r>
        <w:t>Size:</w:t>
      </w:r>
      <w:r>
        <w:rPr>
          <w:spacing w:val="-2"/>
        </w:rPr>
        <w:t xml:space="preserve"> </w:t>
      </w:r>
      <w:r>
        <w:t>HUBZone,</w:t>
      </w:r>
      <w:r>
        <w:rPr>
          <w:spacing w:val="-1"/>
        </w:rPr>
        <w:t xml:space="preserve"> </w:t>
      </w:r>
      <w:r>
        <w:t>VOSB,</w:t>
      </w:r>
      <w:r>
        <w:rPr>
          <w:spacing w:val="-2"/>
        </w:rPr>
        <w:t xml:space="preserve"> </w:t>
      </w:r>
      <w:r>
        <w:t>SDVOSB,</w:t>
      </w:r>
      <w:r>
        <w:rPr>
          <w:spacing w:val="-1"/>
        </w:rPr>
        <w:t xml:space="preserve"> </w:t>
      </w:r>
      <w:r>
        <w:rPr>
          <w:spacing w:val="-2"/>
        </w:rPr>
        <w:t>SB150</w:t>
      </w:r>
    </w:p>
    <w:sectPr w:rsidR="00643464">
      <w:type w:val="continuous"/>
      <w:pgSz w:w="12240" w:h="15840"/>
      <w:pgMar w:top="5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4C21"/>
    <w:multiLevelType w:val="hybridMultilevel"/>
    <w:tmpl w:val="03261768"/>
    <w:lvl w:ilvl="0" w:tplc="3836F28E">
      <w:start w:val="1"/>
      <w:numFmt w:val="lowerRoman"/>
      <w:lvlText w:val="%1."/>
      <w:lvlJc w:val="left"/>
      <w:pPr>
        <w:ind w:left="994" w:hanging="720"/>
        <w:jc w:val="right"/>
      </w:pPr>
      <w:rPr>
        <w:rFonts w:ascii="Arial" w:eastAsia="Arial" w:hAnsi="Arial" w:cs="Arial" w:hint="default"/>
        <w:b w:val="0"/>
        <w:bCs w:val="0"/>
        <w:i w:val="0"/>
        <w:iCs w:val="0"/>
        <w:spacing w:val="0"/>
        <w:w w:val="100"/>
        <w:sz w:val="18"/>
        <w:szCs w:val="18"/>
        <w:lang w:val="en-US" w:eastAsia="en-US" w:bidi="ar-SA"/>
      </w:rPr>
    </w:lvl>
    <w:lvl w:ilvl="1" w:tplc="F182D0EE">
      <w:numFmt w:val="bullet"/>
      <w:lvlText w:val="•"/>
      <w:lvlJc w:val="left"/>
      <w:pPr>
        <w:ind w:left="2016" w:hanging="720"/>
      </w:pPr>
      <w:rPr>
        <w:rFonts w:hint="default"/>
        <w:lang w:val="en-US" w:eastAsia="en-US" w:bidi="ar-SA"/>
      </w:rPr>
    </w:lvl>
    <w:lvl w:ilvl="2" w:tplc="BAEA1D44">
      <w:numFmt w:val="bullet"/>
      <w:lvlText w:val="•"/>
      <w:lvlJc w:val="left"/>
      <w:pPr>
        <w:ind w:left="3032" w:hanging="720"/>
      </w:pPr>
      <w:rPr>
        <w:rFonts w:hint="default"/>
        <w:lang w:val="en-US" w:eastAsia="en-US" w:bidi="ar-SA"/>
      </w:rPr>
    </w:lvl>
    <w:lvl w:ilvl="3" w:tplc="18A25A40">
      <w:numFmt w:val="bullet"/>
      <w:lvlText w:val="•"/>
      <w:lvlJc w:val="left"/>
      <w:pPr>
        <w:ind w:left="4048" w:hanging="720"/>
      </w:pPr>
      <w:rPr>
        <w:rFonts w:hint="default"/>
        <w:lang w:val="en-US" w:eastAsia="en-US" w:bidi="ar-SA"/>
      </w:rPr>
    </w:lvl>
    <w:lvl w:ilvl="4" w:tplc="DD1C35C4">
      <w:numFmt w:val="bullet"/>
      <w:lvlText w:val="•"/>
      <w:lvlJc w:val="left"/>
      <w:pPr>
        <w:ind w:left="5064" w:hanging="720"/>
      </w:pPr>
      <w:rPr>
        <w:rFonts w:hint="default"/>
        <w:lang w:val="en-US" w:eastAsia="en-US" w:bidi="ar-SA"/>
      </w:rPr>
    </w:lvl>
    <w:lvl w:ilvl="5" w:tplc="E69C6EEA">
      <w:numFmt w:val="bullet"/>
      <w:lvlText w:val="•"/>
      <w:lvlJc w:val="left"/>
      <w:pPr>
        <w:ind w:left="6080" w:hanging="720"/>
      </w:pPr>
      <w:rPr>
        <w:rFonts w:hint="default"/>
        <w:lang w:val="en-US" w:eastAsia="en-US" w:bidi="ar-SA"/>
      </w:rPr>
    </w:lvl>
    <w:lvl w:ilvl="6" w:tplc="79ECE2F6">
      <w:numFmt w:val="bullet"/>
      <w:lvlText w:val="•"/>
      <w:lvlJc w:val="left"/>
      <w:pPr>
        <w:ind w:left="7096" w:hanging="720"/>
      </w:pPr>
      <w:rPr>
        <w:rFonts w:hint="default"/>
        <w:lang w:val="en-US" w:eastAsia="en-US" w:bidi="ar-SA"/>
      </w:rPr>
    </w:lvl>
    <w:lvl w:ilvl="7" w:tplc="756AE930">
      <w:numFmt w:val="bullet"/>
      <w:lvlText w:val="•"/>
      <w:lvlJc w:val="left"/>
      <w:pPr>
        <w:ind w:left="8112" w:hanging="720"/>
      </w:pPr>
      <w:rPr>
        <w:rFonts w:hint="default"/>
        <w:lang w:val="en-US" w:eastAsia="en-US" w:bidi="ar-SA"/>
      </w:rPr>
    </w:lvl>
    <w:lvl w:ilvl="8" w:tplc="7690F450">
      <w:numFmt w:val="bullet"/>
      <w:lvlText w:val="•"/>
      <w:lvlJc w:val="left"/>
      <w:pPr>
        <w:ind w:left="9128" w:hanging="720"/>
      </w:pPr>
      <w:rPr>
        <w:rFonts w:hint="default"/>
        <w:lang w:val="en-US" w:eastAsia="en-US" w:bidi="ar-SA"/>
      </w:rPr>
    </w:lvl>
  </w:abstractNum>
  <w:num w:numId="1" w16cid:durableId="95514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3464"/>
    <w:rsid w:val="003E5610"/>
    <w:rsid w:val="00643464"/>
    <w:rsid w:val="0064617A"/>
    <w:rsid w:val="008B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7783E"/>
  <w15:docId w15:val="{7B57E49E-161B-4D6B-8F03-3C6DB7CB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3"/>
      <w:outlineLvl w:val="0"/>
    </w:pPr>
    <w:rPr>
      <w:b/>
      <w:bCs/>
      <w:sz w:val="24"/>
      <w:szCs w:val="24"/>
    </w:rPr>
  </w:style>
  <w:style w:type="paragraph" w:styleId="Heading2">
    <w:name w:val="heading 2"/>
    <w:basedOn w:val="Normal"/>
    <w:uiPriority w:val="9"/>
    <w:unhideWhenUsed/>
    <w:qFormat/>
    <w:pPr>
      <w:ind w:left="196"/>
      <w:outlineLvl w:val="1"/>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8"/>
      <w:szCs w:val="18"/>
    </w:rPr>
  </w:style>
  <w:style w:type="paragraph" w:styleId="ListParagraph">
    <w:name w:val="List Paragraph"/>
    <w:basedOn w:val="Normal"/>
    <w:uiPriority w:val="1"/>
    <w:qFormat/>
    <w:pPr>
      <w:spacing w:before="9"/>
      <w:ind w:left="994" w:hanging="8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tterdirect.com/federal-contracts/" TargetMode="External"/><Relationship Id="rId13" Type="http://schemas.openxmlformats.org/officeDocument/2006/relationships/hyperlink" Target="mailto:mitchel@betterdirect.com" TargetMode="External"/><Relationship Id="rId3" Type="http://schemas.openxmlformats.org/officeDocument/2006/relationships/settings" Target="settings.xml"/><Relationship Id="rId7" Type="http://schemas.openxmlformats.org/officeDocument/2006/relationships/hyperlink" Target="mailto:kim@betterdirect.com" TargetMode="External"/><Relationship Id="rId12" Type="http://schemas.openxmlformats.org/officeDocument/2006/relationships/hyperlink" Target="https://www.sewp.nasa.gov/fairopportunity.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itchel@betterdirect.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ewp.nasa.gov/sewp5public/security/login.sa" TargetMode="External"/><Relationship Id="rId4" Type="http://schemas.openxmlformats.org/officeDocument/2006/relationships/webSettings" Target="webSettings.xml"/><Relationship Id="rId9" Type="http://schemas.openxmlformats.org/officeDocument/2006/relationships/hyperlink" Target="https://www.sewp.nasa.gov/documents/SEWPTrainingPD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2832</Characters>
  <Application>Microsoft Office Word</Application>
  <DocSecurity>0</DocSecurity>
  <Lines>61</Lines>
  <Paragraphs>39</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Devika Nhendanmadath</cp:lastModifiedBy>
  <cp:revision>3</cp:revision>
  <dcterms:created xsi:type="dcterms:W3CDTF">2025-10-27T21:08:00Z</dcterms:created>
  <dcterms:modified xsi:type="dcterms:W3CDTF">2025-10-27T21:17:00Z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Adobe Acrobat Pro (64-bit) 23.3.20269</vt:lpwstr>
  </property>
  <property fmtid="{D5CDD505-2E9C-101B-9397-08002B2CF9AE}" pid="4" name="LastSaved">
    <vt:filetime>2025-10-27T00:00:00Z</vt:filetime>
  </property>
  <property fmtid="{D5CDD505-2E9C-101B-9397-08002B2CF9AE}" pid="5" name="Producer">
    <vt:lpwstr>Adobe Acrobat Pro (64-bit) 23.3.20269</vt:lpwstr>
  </property>
  <property fmtid="{D5CDD505-2E9C-101B-9397-08002B2CF9AE}" pid="6" name="GrammarlyDocumentId">
    <vt:lpwstr>0b53a007-cb02-41d3-b35c-c8092f6fc166</vt:lpwstr>
  </property>
</Properties>
</file>